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2E70D42C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C044E7">
        <w:rPr>
          <w:rFonts w:ascii="Times New Roman" w:hAnsi="Times New Roman" w:cs="Times New Roman"/>
          <w:sz w:val="28"/>
          <w:szCs w:val="28"/>
        </w:rPr>
        <w:t>17.01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C044E7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E72AF64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7E0465">
        <w:rPr>
          <w:sz w:val="28"/>
          <w:szCs w:val="28"/>
        </w:rPr>
        <w:t>распоряжения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DF4E8D" w:rsidRPr="00DF4E8D">
        <w:rPr>
          <w:sz w:val="28"/>
          <w:szCs w:val="28"/>
        </w:rPr>
        <w:t xml:space="preserve"> </w:t>
      </w:r>
      <w:r w:rsidR="007E0465">
        <w:rPr>
          <w:sz w:val="28"/>
          <w:szCs w:val="28"/>
        </w:rPr>
        <w:t xml:space="preserve">(по лоту № 1 – распоряжение </w:t>
      </w:r>
      <w:r w:rsidR="00C044E7">
        <w:rPr>
          <w:sz w:val="28"/>
          <w:szCs w:val="28"/>
        </w:rPr>
        <w:t>от 25</w:t>
      </w:r>
      <w:r w:rsidR="00960C3F">
        <w:rPr>
          <w:sz w:val="28"/>
          <w:szCs w:val="28"/>
        </w:rPr>
        <w:t xml:space="preserve">.11.2024 № </w:t>
      </w:r>
      <w:r w:rsidR="00C044E7">
        <w:rPr>
          <w:sz w:val="28"/>
          <w:szCs w:val="28"/>
        </w:rPr>
        <w:t>4023</w:t>
      </w:r>
      <w:r w:rsidR="007E0465">
        <w:rPr>
          <w:sz w:val="28"/>
          <w:szCs w:val="28"/>
        </w:rPr>
        <w:t xml:space="preserve">, по лоту № 2 – распоряжение от </w:t>
      </w:r>
      <w:r w:rsidR="007E0465" w:rsidRPr="007E0465">
        <w:rPr>
          <w:sz w:val="28"/>
          <w:szCs w:val="28"/>
        </w:rPr>
        <w:t>04.09.2024 № 2917</w:t>
      </w:r>
      <w:r w:rsidR="0084569D">
        <w:rPr>
          <w:sz w:val="28"/>
          <w:szCs w:val="28"/>
        </w:rPr>
        <w:t>, по лоту № 3 -</w:t>
      </w:r>
      <w:r w:rsidR="0084569D" w:rsidRPr="0084569D">
        <w:rPr>
          <w:sz w:val="28"/>
          <w:szCs w:val="28"/>
        </w:rPr>
        <w:t xml:space="preserve"> </w:t>
      </w:r>
      <w:r w:rsidR="0084569D">
        <w:rPr>
          <w:sz w:val="28"/>
          <w:szCs w:val="28"/>
        </w:rPr>
        <w:br/>
        <w:t>от 05.09.2024 № 2943)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A9115B" w14:textId="07754FBE" w:rsidR="00DF4E8D" w:rsidRPr="00DF4E8D" w:rsidRDefault="00DF4E8D" w:rsidP="00C044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F4E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1. 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разрешенное использование: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размещение гаражей для собственных нужд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село Лобаново, улица Культуры, з/у 9к</w:t>
      </w:r>
      <w:r w:rsidR="00960C3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категория земель: </w:t>
      </w:r>
      <w:r w:rsidR="00960C3F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 w:rsidR="00960C3F" w:rsidRPr="00960C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емли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населенных пунктов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. Кадас</w:t>
      </w:r>
      <w:r w:rsidR="001D38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тровый номер: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59:32:0890001:11022</w:t>
      </w:r>
      <w:r w:rsidR="00960C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Срок аренды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2 года 6 месяцев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приаэродромной</w:t>
      </w:r>
      <w:proofErr w:type="spellEnd"/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территории аэродрома Большое Савино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Лобановском месторождении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подземных вод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уч. </w:t>
      </w:r>
      <w:proofErr w:type="spellStart"/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Козыбаевский</w:t>
      </w:r>
      <w:proofErr w:type="spellEnd"/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уч. Лобановский,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уч.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Центральнолобановский</w:t>
      </w:r>
      <w:proofErr w:type="spellEnd"/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Земельный участок частично расположен в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III пояс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зоны санитарной охраны водозаборных скважин 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№№ 1 </w:t>
      </w:r>
      <w:proofErr w:type="spellStart"/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усл</w:t>
      </w:r>
      <w:proofErr w:type="spellEnd"/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18536, 2980, 4а, 4б,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18538, 249, 456 водозабора хозяйственно-питьевого назначения в с.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Лобаново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Пермского района</w:t>
      </w:r>
      <w:r w:rsidR="001173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19,48</w:t>
      </w:r>
      <w:r w:rsidR="001173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proofErr w:type="gramStart"/>
      <w:r w:rsidR="0011730F">
        <w:rPr>
          <w:rFonts w:ascii="Times New Roman" w:eastAsia="Times New Roman" w:hAnsi="Times New Roman" w:cs="Times New Roman"/>
          <w:sz w:val="28"/>
          <w:szCs w:val="28"/>
          <w:lang w:eastAsia="x-none"/>
        </w:rPr>
        <w:t>кв.м</w:t>
      </w:r>
      <w:proofErr w:type="spellEnd"/>
      <w:proofErr w:type="gramEnd"/>
      <w:r w:rsidR="0011730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442A0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F68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16 300,00 (шестнадцать тысяч триста) рублей 00 коп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Задаток </w:t>
      </w:r>
      <w:r w:rsidR="00C044E7" w:rsidRPr="00C044E7">
        <w:rPr>
          <w:rFonts w:ascii="Times New Roman" w:eastAsia="Times New Roman" w:hAnsi="Times New Roman" w:cs="Times New Roman"/>
          <w:sz w:val="28"/>
          <w:szCs w:val="28"/>
          <w:lang w:eastAsia="x-none"/>
        </w:rPr>
        <w:t>16 300,00 (шестнадцать тысяч триста) рублей 00 коп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5C0BAFBE" w14:textId="1D716EE3" w:rsidR="00DF4E8D" w:rsidRPr="00DF4E8D" w:rsidRDefault="0011730F" w:rsidP="00321F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Территориальная зона: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Т-1 «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Зона объек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тов транспортной инфраструктуры»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Параметры разрешенного строительства объектов 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капи</w:t>
      </w:r>
      <w:r w:rsidR="009F681B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="0044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ального строительства в зоне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Т-1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Предельное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количеств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этажей – не подлежат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установлению.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подлежат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установлению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подлежат установлению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Подготовлен градостроительный план земельного участка</w:t>
      </w:r>
      <w:r w:rsidR="00501C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электронном виде</w:t>
      </w:r>
      <w:r w:rsidR="00DF4E8D"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C8A0D3B" w14:textId="58069DA3" w:rsidR="00F227EA" w:rsidRDefault="00DF4E8D" w:rsidP="00321F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501C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филиал в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Пермском районе от 27.11.2024 № ПР-5589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Возможная точка подключения: газопровод низкого давления по ул. Культуры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501C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(собственник </w:t>
      </w:r>
      <w:r w:rsidR="00501CB4" w:rsidRPr="00501CB4">
        <w:rPr>
          <w:rFonts w:ascii="Times New Roman" w:eastAsia="Times New Roman" w:hAnsi="Times New Roman" w:cs="Times New Roman"/>
          <w:sz w:val="28"/>
          <w:szCs w:val="28"/>
          <w:lang w:eastAsia="x-none"/>
        </w:rPr>
        <w:t>АО «Газпром газораспределение Пермь»</w:t>
      </w:r>
      <w:r w:rsidR="00501CB4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Ориентировочное расстояние до границ участка составляет 45 м. 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Для заключения договора подключения и получения технических условий необходимо представить пакет документов в соответствии с п. 16 Правил подключения, утвержденных постановлением Правительства РФ от 30.09.2021 № 1547 в Пермский районный филиал АО </w:t>
      </w:r>
      <w:r w:rsidR="00EF6C69" w:rsidRP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>«Газпром газораспределение Пермь»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Согласно </w:t>
      </w:r>
      <w:proofErr w:type="gramStart"/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письму 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</w:t>
      </w:r>
      <w:proofErr w:type="gramEnd"/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Вика» от 14.10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.2024 №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125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Подключение к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централизованно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й сети водоснабжения с. Лобаново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возмо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жно от водопровода в с. Лобаново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. Максимальная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нагрузка в потенциальных точках подключения к централизованной системе водоснабжения будет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обеспечена 1 м3/</w:t>
      </w:r>
      <w:proofErr w:type="spellStart"/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сут</w:t>
      </w:r>
      <w:proofErr w:type="spellEnd"/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Гарантируемый напор водоснабжения в точке подключения (технологического присоединения)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подключаемого объекта к централизованной с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истеме водоснабжения с. Лобаново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- 10 м.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Подключение (технологическое присоединение)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 централизованной сети водоотведения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возможно от канализационной сети, согласно проектному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решению. </w:t>
      </w:r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ПАО «</w:t>
      </w:r>
      <w:proofErr w:type="spellStart"/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Россети</w:t>
      </w:r>
      <w:proofErr w:type="spellEnd"/>
      <w:r w:rsidR="00321FB7"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Урал»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имеет техническую возможность технологического присоединения к электрическим сетям. </w:t>
      </w:r>
      <w:r w:rsidR="00B077C9"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(письм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о от 22.10</w:t>
      </w:r>
      <w:r w:rsidR="00EF6C69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 № ПЭ/Ц</w:t>
      </w:r>
      <w:r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ЭС/</w:t>
      </w:r>
      <w:r w:rsidR="00B077C9"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01/</w:t>
      </w:r>
      <w:r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22/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14417</w:t>
      </w:r>
      <w:r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  <w:r w:rsidR="00BF4215" w:rsidRPr="00A05EEB">
        <w:t xml:space="preserve"> </w:t>
      </w:r>
      <w:r w:rsidR="00BF4215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письму ПАО «Ростелек</w:t>
      </w:r>
      <w:r w:rsidR="008255EF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ом» от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16.10</w:t>
      </w:r>
      <w:r w:rsidR="00E467C6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.2024 № 01/05/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156080</w:t>
      </w:r>
      <w:r w:rsidR="00BF4215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с. Лобаново</w:t>
      </w:r>
      <w:r w:rsidR="008255EF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ул. </w:t>
      </w:r>
      <w:r w:rsid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Культуры, д. 10</w:t>
      </w:r>
      <w:r w:rsidR="00BF4215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8255EF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BF4215"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FE3C250" w14:textId="4BB790A6" w:rsidR="007E0465" w:rsidRPr="00A66462" w:rsidRDefault="007E0465" w:rsidP="008456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2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1000 </w:t>
      </w:r>
      <w:proofErr w:type="spellStart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объекты дорожного сервиса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 муниципальный округ, п. Юго-Камский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59:32:0100009:14398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2 года 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месяцев. Обременения, зоны с особыми условиями использования земельного участка: отсутствуют.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50 700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пятьдесят тысяч семьсот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50 700,00 (пятьдесят тысяч семьсот) рублей 00 коп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FA24776" w14:textId="77777777" w:rsidR="007E0465" w:rsidRPr="00020183" w:rsidRDefault="007E0465" w:rsidP="007E04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Территориальная зона: П-5 «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производственных объектов V класса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опасности»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FA1E69">
        <w:t xml:space="preserve"> 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 в электронном виде.</w:t>
      </w:r>
    </w:p>
    <w:p w14:paraId="1F9C4FE3" w14:textId="2D4720DC" w:rsidR="007E0465" w:rsidRDefault="007E0465" w:rsidP="007E04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Пермском районе от 05.08.2024 № ПР-3238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высокого давления 2 категории по ул. 3-я Пятилетка (собственник – АО </w:t>
      </w:r>
      <w:r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до границы участка составляет 2 м.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25.07.2024 № СЭД-2024-299-01-02исх1108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возможность подключения к централизованным системам теплоснабжения отсутствует. ПАО </w:t>
      </w:r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 техническую возможность технологического присоединения к электрическим сетям. (письмо от 26.07.2024 № ПЭ/ЦЭС/01/22/10139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ПАО «Ростелеком» от 24.07.2024 № 01/05/106510/24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(п. Юго-Камский, ул. Советская, д. 120), максимальную нагрузку в точке подключения (технологического присоединения) определить на стадии проектирования.</w:t>
      </w:r>
    </w:p>
    <w:p w14:paraId="4FF203AE" w14:textId="31A576D4" w:rsidR="002A57E7" w:rsidRPr="00A66462" w:rsidRDefault="002A57E7" w:rsidP="008456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3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18 858 </w:t>
      </w:r>
      <w:proofErr w:type="spellStart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 (рекреация)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 муниципальный округ, п. Сылва, ул. Свердлова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6001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з/у 118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категория земель: земли населенных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59:32:0050027:16919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Земельный участок полностью расположен в зоне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санитарной охраны поверхностного источника водоснабжения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–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Новолядовского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водозабора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(II,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пояса), частично –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прибрежной защитной полосе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Камского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(17 352,69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683 100,00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восемьдесят три тысячи сто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683 100,00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восемьдесят три тысячи сто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коп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2840567" w14:textId="77777777" w:rsidR="002A57E7" w:rsidRPr="00020183" w:rsidRDefault="002A57E7" w:rsidP="002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ab/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 «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объектов санаторно-курортного лечения,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отдыха, туризма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80%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 в электронном виде.</w:t>
      </w:r>
    </w:p>
    <w:p w14:paraId="6DCFF610" w14:textId="3C7A1C87" w:rsidR="002A57E7" w:rsidRDefault="002A57E7" w:rsidP="002A57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Пермском районе от 15.11.2023 № ПР-4659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высокого давления 2 категории по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Сылвенский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тракт (собственник – АО </w:t>
      </w:r>
      <w:r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до границы участка составляет 4073 м.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proofErr w:type="gramEnd"/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16.11.2023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СЭД-2023-299-01-02исх-854 возможность подключения к централизованным системам водоснабжения и водоотведения п. Сылва отсутствует. В настоящее время у ПАО </w:t>
      </w:r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отсутствует техническая возможность подключения к сетям электроснабжения. Для ее обеспечения необходимо предусмотреть строительство электросетевых объектов (письмо от 13.11.2023 № ПЭ/ЦЭС/01/22/11078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Согласно письму ПАО «Ростелеком» от 10.09.2024 № 01/05/134123/24 технологическое присоединение к сетям связи ПАО «Ростелеком</w:t>
      </w:r>
      <w:proofErr w:type="gramStart"/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proofErr w:type="gramEnd"/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имеется. Технологическое присоединение может быть произведено в точке подключения узел ВОЛС (п. Сылва, пер. Заводской, д. 17), максимальную нагрузку в точке подключения (технологического присоединения) определить на стадии проектирования.</w:t>
      </w:r>
      <w:r w:rsidRPr="00BF4215">
        <w:t xml:space="preserve"> 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626E819E" w14:textId="28ADDF5B" w:rsidR="00AA385B" w:rsidRPr="004262CF" w:rsidRDefault="00AA385B" w:rsidP="00AA38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15000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 (рекреация)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 участка: Пермский край,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муниципальный округ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 Сташково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стровый номер: 59:32:4370001:434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года 10 месяцев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участок полностью расположен в</w:t>
      </w:r>
      <w:r w:rsidRPr="00B358CE"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</w:t>
      </w:r>
      <w:r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Воткинского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водохранилища, в геологическом отводе, м</w:t>
      </w:r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есторождение углеводородного сырья, </w:t>
      </w:r>
      <w:proofErr w:type="gramStart"/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ООО«</w:t>
      </w:r>
      <w:proofErr w:type="gramEnd"/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ЛУКОЙЛ-ПЕРМЬ», ПЕМ 02734 НП</w:t>
      </w:r>
      <w:r w:rsidRPr="00B358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придорожной полосе</w:t>
      </w:r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автомобильной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ороги Рождественское – Сташково, (951,54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береговой полосе </w:t>
      </w:r>
      <w:proofErr w:type="spellStart"/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Воткинского</w:t>
      </w:r>
      <w:proofErr w:type="spellEnd"/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(78,73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еличины годовой арендной платы 414 100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четыреста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четырнадцать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сто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414 100,00 (четыреста </w:t>
      </w:r>
      <w:proofErr w:type="gramStart"/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четырнадцать  тысяч</w:t>
      </w:r>
      <w:proofErr w:type="gramEnd"/>
      <w:r w:rsidRPr="007A20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сто) рублей 00 коп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46F7E50" w14:textId="77777777" w:rsidR="00AA385B" w:rsidRDefault="00AA385B" w:rsidP="00AA3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 «Зона объектов отдыха и туризма»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Параметры разрешенного строительства объектов кап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итального строительства в зоне Р-2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Предельная</w:t>
      </w:r>
      <w:r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высота зданий, сооружений</w:t>
      </w:r>
      <w:r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не подлежит установлению. Максимальный процент застройки в границах земельного участка: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60%</w:t>
      </w:r>
      <w:r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  <w:r w:rsidRPr="00B735C8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Подготовлен градостроительный план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электронном виде</w:t>
      </w:r>
      <w:r w:rsidRPr="001C1B0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3A53F62" w14:textId="0F9180EC" w:rsidR="00AA385B" w:rsidRPr="00AA385B" w:rsidRDefault="00AA385B" w:rsidP="00AA38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возможности подключения к сетям: согласно </w:t>
      </w:r>
      <w:proofErr w:type="gram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</w:t>
      </w:r>
      <w:proofErr w:type="gram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Юго-Камского ТУ администрации ПМО от 12.01.2024 № СЭД-2024-299-01-01вн-11 населенный пункт не газифицирован (автономное теплоснабжение). Согласно письму МУП «Энергетик» от 04.06.2024 № 170 предоставить технические условия не представляется возможным из-за отсутствия систем коммуникаций водоснабжения.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объекта возможно предусмотреть в герметичный накопитель с последующим вывозом.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</w:t>
      </w:r>
      <w:r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3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Урал»-«Пермэ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04.06.2024 № ПЭ/ЦЭС/01/22/7255 в настоящий момент техническая возможность подключения к сетям электроснабжения отсутствует, для её обеспечения необходимо предусмотреть строительство электросетевых объектов.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письму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«Ростелеком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01/05/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80105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Рождественское, ул. Первомайская, д. 36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  <w:bookmarkStart w:id="0" w:name="_GoBack"/>
      <w:bookmarkEnd w:id="0"/>
    </w:p>
    <w:p w14:paraId="4AB17F05" w14:textId="77777777" w:rsidR="007E0465" w:rsidRPr="00A80D5B" w:rsidRDefault="007E0465" w:rsidP="007E04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r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2BFA6" w14:textId="77777777" w:rsidR="003B5888" w:rsidRDefault="003B5888" w:rsidP="000323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lastRenderedPageBreak/>
        <w:t>3.8. Задаток возвращается на реквизиты, указанные участником в заявке на участие в аукционе.</w:t>
      </w:r>
    </w:p>
    <w:p w14:paraId="42A2FFFD" w14:textId="77777777" w:rsidR="002A57E7" w:rsidRDefault="002A57E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E27" w14:textId="33CC609C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2931435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B56FC">
        <w:rPr>
          <w:rFonts w:ascii="Times New Roman" w:hAnsi="Times New Roman" w:cs="Times New Roman"/>
          <w:sz w:val="28"/>
          <w:szCs w:val="28"/>
        </w:rPr>
        <w:t>12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>декабря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1770A3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B56FC">
        <w:rPr>
          <w:rFonts w:ascii="Times New Roman" w:hAnsi="Times New Roman" w:cs="Times New Roman"/>
          <w:sz w:val="28"/>
          <w:szCs w:val="28"/>
        </w:rPr>
        <w:t>13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960C3F">
        <w:rPr>
          <w:rFonts w:ascii="Times New Roman" w:hAnsi="Times New Roman" w:cs="Times New Roman"/>
          <w:sz w:val="28"/>
          <w:szCs w:val="28"/>
        </w:rPr>
        <w:t>2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26019ED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B56FC">
        <w:rPr>
          <w:rFonts w:ascii="Times New Roman" w:hAnsi="Times New Roman" w:cs="Times New Roman"/>
          <w:sz w:val="28"/>
          <w:szCs w:val="28"/>
        </w:rPr>
        <w:t>16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>января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E7F75D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B56FC">
        <w:rPr>
          <w:rFonts w:ascii="Times New Roman" w:hAnsi="Times New Roman" w:cs="Times New Roman"/>
          <w:sz w:val="28"/>
          <w:szCs w:val="28"/>
        </w:rPr>
        <w:t>17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B56FC">
        <w:rPr>
          <w:rFonts w:ascii="Times New Roman" w:hAnsi="Times New Roman" w:cs="Times New Roman"/>
          <w:sz w:val="28"/>
          <w:szCs w:val="28"/>
        </w:rPr>
        <w:t>января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</w:t>
      </w: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</w:t>
      </w:r>
      <w:r w:rsidR="00DE0FCF"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DE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308"/>
    <w:rsid w:val="00032F44"/>
    <w:rsid w:val="000378A0"/>
    <w:rsid w:val="0005405F"/>
    <w:rsid w:val="00062137"/>
    <w:rsid w:val="00063DA9"/>
    <w:rsid w:val="00077CF6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4979"/>
    <w:rsid w:val="001462D6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E5BA8"/>
    <w:rsid w:val="001E7E95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44AA"/>
    <w:rsid w:val="00290039"/>
    <w:rsid w:val="002A2A67"/>
    <w:rsid w:val="002A57E7"/>
    <w:rsid w:val="002C4EF1"/>
    <w:rsid w:val="002C60E7"/>
    <w:rsid w:val="002D0D4A"/>
    <w:rsid w:val="002F3D12"/>
    <w:rsid w:val="003012C4"/>
    <w:rsid w:val="003040AD"/>
    <w:rsid w:val="00306B9A"/>
    <w:rsid w:val="00317DA8"/>
    <w:rsid w:val="00321FB7"/>
    <w:rsid w:val="00327EAB"/>
    <w:rsid w:val="00342C42"/>
    <w:rsid w:val="00344F6E"/>
    <w:rsid w:val="00380983"/>
    <w:rsid w:val="00383499"/>
    <w:rsid w:val="00385663"/>
    <w:rsid w:val="003963B7"/>
    <w:rsid w:val="003A63F2"/>
    <w:rsid w:val="003B5888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1CB4"/>
    <w:rsid w:val="0050535F"/>
    <w:rsid w:val="0051137F"/>
    <w:rsid w:val="00535278"/>
    <w:rsid w:val="00540516"/>
    <w:rsid w:val="00581C9F"/>
    <w:rsid w:val="005C056E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56C6"/>
    <w:rsid w:val="007E0465"/>
    <w:rsid w:val="007F153F"/>
    <w:rsid w:val="007F260A"/>
    <w:rsid w:val="007F5C33"/>
    <w:rsid w:val="007F64AD"/>
    <w:rsid w:val="00800360"/>
    <w:rsid w:val="00801C56"/>
    <w:rsid w:val="008042B1"/>
    <w:rsid w:val="00807B3D"/>
    <w:rsid w:val="008240F7"/>
    <w:rsid w:val="008255EF"/>
    <w:rsid w:val="00831555"/>
    <w:rsid w:val="00843201"/>
    <w:rsid w:val="0084569D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46C9A"/>
    <w:rsid w:val="0095188A"/>
    <w:rsid w:val="00960C3F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EE7"/>
    <w:rsid w:val="00A6354F"/>
    <w:rsid w:val="00A63DA9"/>
    <w:rsid w:val="00A64117"/>
    <w:rsid w:val="00A646B4"/>
    <w:rsid w:val="00A66462"/>
    <w:rsid w:val="00A8239C"/>
    <w:rsid w:val="00A97B8B"/>
    <w:rsid w:val="00AA385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4477"/>
    <w:rsid w:val="00B71233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44E7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34433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B56FC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4892"/>
    <w:rsid w:val="00F50A44"/>
    <w:rsid w:val="00F560E2"/>
    <w:rsid w:val="00F5617A"/>
    <w:rsid w:val="00F86066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3ADAE8FE-B57A-4E50-A1A8-6B04AA4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700F-72DD-438F-AE01-733919CC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18</cp:revision>
  <cp:lastPrinted>2024-01-29T10:35:00Z</cp:lastPrinted>
  <dcterms:created xsi:type="dcterms:W3CDTF">2024-12-04T03:08:00Z</dcterms:created>
  <dcterms:modified xsi:type="dcterms:W3CDTF">2024-12-05T11:38:00Z</dcterms:modified>
</cp:coreProperties>
</file>